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8" w:rsidRPr="00535114" w:rsidRDefault="003A1678" w:rsidP="003A1678"/>
    <w:p w:rsidR="003A1678" w:rsidRPr="00535114" w:rsidRDefault="003A1678" w:rsidP="003A1678"/>
    <w:p w:rsidR="003A1678" w:rsidRPr="00535114" w:rsidRDefault="003A1678" w:rsidP="003A1678"/>
    <w:p w:rsidR="003A1678" w:rsidRPr="00535114" w:rsidRDefault="003A1678" w:rsidP="003A1678"/>
    <w:p w:rsidR="003A1678" w:rsidRPr="00535114" w:rsidRDefault="00D26F5C" w:rsidP="003A1678">
      <w:pPr>
        <w:ind w:left="227" w:firstLine="227"/>
        <w:jc w:val="center"/>
      </w:pPr>
      <w:r w:rsidRPr="00535114">
        <w:t>Merkblatt für die Durchführung von Sonnwendfeuern</w:t>
      </w:r>
    </w:p>
    <w:p w:rsidR="00C637A5" w:rsidRPr="00535114" w:rsidRDefault="00D26F5C" w:rsidP="003A1678">
      <w:pPr>
        <w:ind w:left="227" w:firstLine="227"/>
        <w:jc w:val="center"/>
      </w:pPr>
      <w:r w:rsidRPr="00535114">
        <w:t>und ähnlichen Veranstaltungen im Landkreis Böblingen</w:t>
      </w:r>
    </w:p>
    <w:p w:rsidR="00C637A5" w:rsidRPr="00535114" w:rsidRDefault="00C637A5" w:rsidP="003A1678"/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Das Verbrennen von Holz und Reisig in größeren Mengen entspricht nach dem Kreislaufwirtschaftsgesetz (KrWG) einer Entsorgung von Abfall außerhalb von genehmigten Abfallbeseitigungsanlagen. Dafür ist eine </w:t>
      </w:r>
      <w:r w:rsidRPr="00535114">
        <w:rPr>
          <w:bCs/>
          <w:sz w:val="20"/>
        </w:rPr>
        <w:t>abfallrechtliche Genehmigung</w:t>
      </w:r>
      <w:r w:rsidRPr="00535114">
        <w:rPr>
          <w:sz w:val="20"/>
        </w:rPr>
        <w:t xml:space="preserve"> erforderlich. Die Genehmigung ist bei der unteren Abfallrechtsbehörde </w:t>
      </w:r>
      <w:r w:rsidR="003A1678" w:rsidRPr="00535114">
        <w:rPr>
          <w:sz w:val="20"/>
        </w:rPr>
        <w:t>(</w:t>
      </w:r>
      <w:r w:rsidR="00535114">
        <w:rPr>
          <w:sz w:val="20"/>
        </w:rPr>
        <w:t>Amt für</w:t>
      </w:r>
      <w:r w:rsidR="003A1678" w:rsidRPr="00535114">
        <w:rPr>
          <w:sz w:val="20"/>
        </w:rPr>
        <w:t xml:space="preserve"> Wasserwirtschaft) des </w:t>
      </w:r>
      <w:r w:rsidRPr="00535114">
        <w:rPr>
          <w:sz w:val="20"/>
        </w:rPr>
        <w:t xml:space="preserve">Landratsamts Böblingen zu beantragen. Sie ergeht unter dem Vorbehalt des jederzeitigen Widerrufs und </w:t>
      </w:r>
      <w:r w:rsidR="00535114">
        <w:rPr>
          <w:sz w:val="20"/>
        </w:rPr>
        <w:t>wird</w:t>
      </w:r>
      <w:r w:rsidRPr="00535114">
        <w:rPr>
          <w:sz w:val="20"/>
        </w:rPr>
        <w:t xml:space="preserve"> be</w:t>
      </w:r>
      <w:r w:rsidR="00535114">
        <w:rPr>
          <w:sz w:val="20"/>
        </w:rPr>
        <w:t>fristet erteilt.</w:t>
      </w:r>
    </w:p>
    <w:p w:rsidR="00C637A5" w:rsidRPr="00535114" w:rsidRDefault="00D26F5C" w:rsidP="003A1678">
      <w:p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 </w:t>
      </w:r>
    </w:p>
    <w:p w:rsidR="00C637A5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Folgende </w:t>
      </w:r>
      <w:r w:rsidRPr="00535114">
        <w:rPr>
          <w:bCs/>
          <w:sz w:val="20"/>
        </w:rPr>
        <w:t xml:space="preserve">Unterlagen </w:t>
      </w:r>
      <w:r w:rsidRPr="00535114">
        <w:rPr>
          <w:sz w:val="20"/>
        </w:rPr>
        <w:t xml:space="preserve">sind einzureichen: </w:t>
      </w:r>
    </w:p>
    <w:p w:rsidR="00C637A5" w:rsidRPr="00535114" w:rsidRDefault="003A1678" w:rsidP="003A1678">
      <w:pPr>
        <w:pStyle w:val="Textkrper-Zeileneinzug"/>
        <w:tabs>
          <w:tab w:val="left" w:pos="567"/>
        </w:tabs>
        <w:ind w:left="567" w:hanging="567"/>
        <w:rPr>
          <w:sz w:val="20"/>
          <w:szCs w:val="20"/>
        </w:rPr>
      </w:pPr>
      <w:r w:rsidRPr="00535114">
        <w:rPr>
          <w:sz w:val="20"/>
          <w:szCs w:val="20"/>
        </w:rPr>
        <w:tab/>
      </w:r>
      <w:r w:rsidR="00D26F5C" w:rsidRPr="00535114">
        <w:rPr>
          <w:sz w:val="20"/>
          <w:szCs w:val="20"/>
        </w:rPr>
        <w:t xml:space="preserve">Formloser Antrag, Beschreibung des Ortes anhand eines Lageplanes, Größe des Feuers (Holzmenge in cbm), Zeitpunkt oder Zeitraum, Angaben über die Lagerung (Dauer und Ort) des zu verbrennenden Holzes, </w:t>
      </w:r>
      <w:r w:rsidRPr="00535114">
        <w:rPr>
          <w:sz w:val="20"/>
          <w:szCs w:val="20"/>
        </w:rPr>
        <w:t xml:space="preserve">Benennung eines </w:t>
      </w:r>
      <w:r w:rsidR="00D26F5C" w:rsidRPr="00535114">
        <w:rPr>
          <w:sz w:val="20"/>
          <w:szCs w:val="20"/>
        </w:rPr>
        <w:t>Verantwortliche</w:t>
      </w:r>
      <w:r w:rsidRPr="00535114">
        <w:rPr>
          <w:sz w:val="20"/>
          <w:szCs w:val="20"/>
        </w:rPr>
        <w:t>n</w:t>
      </w:r>
      <w:r w:rsidR="00D26F5C" w:rsidRPr="00535114">
        <w:rPr>
          <w:sz w:val="20"/>
          <w:szCs w:val="20"/>
        </w:rPr>
        <w:t xml:space="preserve"> für die Durchführung, Beschreibung und Herkunft des zu verbrennenden Holzes und im Einzelfall besonders zu erwähnende Tatsachen.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Befindet sich die Veranstaltung innerhalb eines Landschaftsschutzgebietes, so ist eine Erlaubnis für die Verbrennung und die Holzlagerung bei der unteren Naturschutzbehörde im </w:t>
      </w:r>
      <w:r w:rsidR="003A1678" w:rsidRPr="00535114">
        <w:rPr>
          <w:sz w:val="20"/>
        </w:rPr>
        <w:t xml:space="preserve">Amt für Landwirtschaft </w:t>
      </w:r>
      <w:r w:rsidRPr="00535114">
        <w:rPr>
          <w:sz w:val="20"/>
        </w:rPr>
        <w:t xml:space="preserve">des Landratsamts Böblingen zu beantragen. Die </w:t>
      </w:r>
      <w:r w:rsidRPr="00535114">
        <w:rPr>
          <w:bCs/>
          <w:sz w:val="20"/>
        </w:rPr>
        <w:t>naturschutzrechtliche Erlaubnis</w:t>
      </w:r>
      <w:r w:rsidRPr="00535114">
        <w:rPr>
          <w:sz w:val="20"/>
        </w:rPr>
        <w:t xml:space="preserve"> umfasst in diesem Fall auch die abfallrechtliche Genehmi</w:t>
      </w:r>
      <w:r w:rsidR="00535114" w:rsidRPr="00535114">
        <w:rPr>
          <w:sz w:val="20"/>
        </w:rPr>
        <w:t>gung.</w:t>
      </w:r>
    </w:p>
    <w:p w:rsidR="00C637A5" w:rsidRPr="00535114" w:rsidRDefault="00C637A5" w:rsidP="003A1678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Für die </w:t>
      </w:r>
      <w:r w:rsidRPr="00535114">
        <w:rPr>
          <w:bCs/>
          <w:sz w:val="20"/>
        </w:rPr>
        <w:t>Genehmigung zur Durchführung</w:t>
      </w:r>
      <w:r w:rsidRPr="00535114">
        <w:rPr>
          <w:sz w:val="20"/>
        </w:rPr>
        <w:t xml:space="preserve"> einer solchen Veranstaltung ist das </w:t>
      </w:r>
      <w:r w:rsidRPr="00535114">
        <w:rPr>
          <w:bCs/>
          <w:sz w:val="20"/>
        </w:rPr>
        <w:t>Bürgermeisteramt</w:t>
      </w:r>
      <w:r w:rsidRPr="00535114">
        <w:rPr>
          <w:sz w:val="20"/>
        </w:rPr>
        <w:t xml:space="preserve"> zuständig. </w:t>
      </w:r>
    </w:p>
    <w:p w:rsidR="00C637A5" w:rsidRPr="00535114" w:rsidRDefault="00C637A5" w:rsidP="003A1678">
      <w:pPr>
        <w:pStyle w:val="Kopfzeile"/>
        <w:tabs>
          <w:tab w:val="clear" w:pos="4536"/>
          <w:tab w:val="clear" w:pos="9072"/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Die Genehmigungen sind in der Regel </w:t>
      </w:r>
      <w:r w:rsidRPr="00535114">
        <w:rPr>
          <w:bCs/>
          <w:sz w:val="20"/>
        </w:rPr>
        <w:t>gebührenpflichtig</w:t>
      </w:r>
      <w:r w:rsidRPr="00535114">
        <w:rPr>
          <w:sz w:val="20"/>
        </w:rPr>
        <w:t xml:space="preserve">. 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>Das Holz muss so gelagert werden, dass von dem Stapel keine Gefahr für die Sicherheit von Personen oder Sachen ausgeht (</w:t>
      </w:r>
      <w:r w:rsidRPr="00535114">
        <w:rPr>
          <w:bCs/>
          <w:sz w:val="20"/>
        </w:rPr>
        <w:t>Standsicherheit</w:t>
      </w:r>
      <w:r w:rsidRPr="00535114">
        <w:rPr>
          <w:sz w:val="20"/>
        </w:rPr>
        <w:t xml:space="preserve">).  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Es ist sicher zu stellen, dass </w:t>
      </w:r>
      <w:r w:rsidRPr="00535114">
        <w:rPr>
          <w:bCs/>
          <w:sz w:val="20"/>
        </w:rPr>
        <w:t>unbefugte Ablagerungen von anderen Abfällen vermieden werden</w:t>
      </w:r>
      <w:r w:rsidRPr="00535114">
        <w:rPr>
          <w:sz w:val="20"/>
        </w:rPr>
        <w:t>. Werden dennoch Abfälle abgelagert, so sind diese vom Verantwortlichen ordnungsgemäß zu entsorgen. Die Nachweise über die ordnungsgemäße Entsorgung sind aufzubewahren und ggf. nach Aufforderung vorzulegen.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Es darf </w:t>
      </w:r>
      <w:r w:rsidRPr="00535114">
        <w:rPr>
          <w:bCs/>
          <w:sz w:val="20"/>
        </w:rPr>
        <w:t>nur unbehandeltes</w:t>
      </w:r>
      <w:r w:rsidRPr="00535114">
        <w:rPr>
          <w:sz w:val="20"/>
        </w:rPr>
        <w:t xml:space="preserve"> (d. h. ohne Imprägnierung, Schutzanstriche bzw. sonstige chemische Behandlung und ohne Fremdmaterial)</w:t>
      </w:r>
      <w:r w:rsidRPr="00535114">
        <w:rPr>
          <w:bCs/>
          <w:sz w:val="20"/>
        </w:rPr>
        <w:t xml:space="preserve"> oder naturbelassenes Holz</w:t>
      </w:r>
      <w:r w:rsidRPr="00535114">
        <w:rPr>
          <w:sz w:val="20"/>
        </w:rPr>
        <w:t xml:space="preserve"> verbrannt werden. Den Nachweis für unbehandeltes Holz hat der Abfallerzeuger gegebenenfalls durch eine Analyse zu erbringen. 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sz w:val="20"/>
        </w:rPr>
        <w:t xml:space="preserve">Aus brandschutztechnischen Gründen ist eine </w:t>
      </w:r>
      <w:r w:rsidRPr="00535114">
        <w:rPr>
          <w:bCs/>
          <w:sz w:val="20"/>
        </w:rPr>
        <w:t>Brandwache</w:t>
      </w:r>
      <w:r w:rsidRPr="00535114">
        <w:rPr>
          <w:sz w:val="20"/>
        </w:rPr>
        <w:t xml:space="preserve"> </w:t>
      </w:r>
      <w:r w:rsidR="003A1678" w:rsidRPr="00535114">
        <w:rPr>
          <w:sz w:val="20"/>
        </w:rPr>
        <w:t xml:space="preserve">bis zum vollständigen Erlöschen des Feuers </w:t>
      </w:r>
      <w:r w:rsidRPr="00535114">
        <w:rPr>
          <w:sz w:val="20"/>
        </w:rPr>
        <w:t xml:space="preserve">zu stellen. Eine ausreichende Anzahl von Feuerwehrleuten und ein geeignetes Löschfahrzeug müssen während des Verbrennens anwesend sein. </w:t>
      </w:r>
      <w:r w:rsidRPr="00535114">
        <w:rPr>
          <w:bCs/>
          <w:sz w:val="20"/>
        </w:rPr>
        <w:t xml:space="preserve">Mindestabstände </w:t>
      </w:r>
      <w:r w:rsidRPr="00535114">
        <w:rPr>
          <w:sz w:val="20"/>
        </w:rPr>
        <w:t xml:space="preserve">von Brandlasten (z. B. Bäume, Wälder) sind einzuhalten.  </w:t>
      </w:r>
    </w:p>
    <w:p w:rsidR="00C637A5" w:rsidRPr="00535114" w:rsidRDefault="00C637A5" w:rsidP="003A1678">
      <w:pPr>
        <w:tabs>
          <w:tab w:val="left" w:pos="567"/>
        </w:tabs>
        <w:ind w:left="567" w:hanging="567"/>
        <w:rPr>
          <w:sz w:val="20"/>
        </w:rPr>
      </w:pPr>
    </w:p>
    <w:p w:rsidR="00C637A5" w:rsidRPr="00535114" w:rsidRDefault="00D26F5C" w:rsidP="003A1678">
      <w:pPr>
        <w:numPr>
          <w:ilvl w:val="0"/>
          <w:numId w:val="1"/>
        </w:numPr>
        <w:tabs>
          <w:tab w:val="left" w:pos="567"/>
        </w:tabs>
        <w:ind w:left="567" w:hanging="567"/>
        <w:rPr>
          <w:sz w:val="20"/>
        </w:rPr>
      </w:pPr>
      <w:r w:rsidRPr="00535114">
        <w:rPr>
          <w:bCs/>
          <w:sz w:val="20"/>
        </w:rPr>
        <w:t>Abgekühlte Brandrückstände und Asche</w:t>
      </w:r>
      <w:r w:rsidRPr="00535114">
        <w:rPr>
          <w:sz w:val="20"/>
        </w:rPr>
        <w:t xml:space="preserve"> sind unverzüglich nach der Veranstaltung ordnungsgemäß zu </w:t>
      </w:r>
      <w:r w:rsidRPr="00535114">
        <w:rPr>
          <w:bCs/>
          <w:sz w:val="20"/>
        </w:rPr>
        <w:t>entsorgen</w:t>
      </w:r>
      <w:r w:rsidRPr="00535114">
        <w:rPr>
          <w:sz w:val="20"/>
        </w:rPr>
        <w:t>. Die Entsorgung hat durch Abfuhr zum Restmüllheizkraftwerk oder durch Entsorgung über die Restmülltonne zu erfolgen.</w:t>
      </w:r>
    </w:p>
    <w:sectPr w:rsidR="00C637A5" w:rsidRPr="00535114" w:rsidSect="003A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985" w:left="1134" w:header="720" w:footer="6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A5" w:rsidRDefault="00D26F5C">
      <w:r>
        <w:separator/>
      </w:r>
    </w:p>
  </w:endnote>
  <w:endnote w:type="continuationSeparator" w:id="0">
    <w:p w:rsidR="00C637A5" w:rsidRDefault="00D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AE" w:rsidRDefault="00414B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A5" w:rsidRDefault="00C637A5">
    <w:pPr>
      <w:pStyle w:val="Fuzeile"/>
      <w:tabs>
        <w:tab w:val="clear" w:pos="4536"/>
        <w:tab w:val="clear" w:pos="9072"/>
        <w:tab w:val="right" w:pos="9498"/>
      </w:tabs>
      <w:ind w:right="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A5" w:rsidRDefault="00C637A5">
    <w:pPr>
      <w:pStyle w:val="Fuzeile"/>
      <w:tabs>
        <w:tab w:val="clear" w:pos="4536"/>
        <w:tab w:val="clear" w:pos="9072"/>
        <w:tab w:val="left" w:pos="1134"/>
        <w:tab w:val="left" w:pos="1701"/>
        <w:tab w:val="left" w:pos="4111"/>
        <w:tab w:val="left" w:pos="6237"/>
        <w:tab w:val="left" w:pos="8364"/>
      </w:tabs>
      <w:ind w:left="-426" w:right="-397"/>
      <w:rPr>
        <w:rFonts w:ascii="Tahoma" w:hAnsi="Tahoma" w:cs="Tahoma"/>
        <w:b/>
        <w:bCs/>
        <w:sz w:val="16"/>
      </w:rPr>
    </w:pPr>
  </w:p>
  <w:p w:rsidR="00C637A5" w:rsidRDefault="00D26F5C">
    <w:pPr>
      <w:jc w:val="center"/>
      <w:rPr>
        <w:sz w:val="16"/>
      </w:rPr>
    </w:pPr>
    <w:r>
      <w:rPr>
        <w:sz w:val="16"/>
      </w:rPr>
      <w:t>Landratsamt Böblingen, Parkstr. 16, 71034 Böblingen</w:t>
    </w:r>
  </w:p>
  <w:p w:rsidR="00C637A5" w:rsidRDefault="003A1678">
    <w:pPr>
      <w:jc w:val="center"/>
      <w:rPr>
        <w:sz w:val="16"/>
      </w:rPr>
    </w:pPr>
    <w:r>
      <w:rPr>
        <w:sz w:val="16"/>
      </w:rPr>
      <w:t>Amt für Wasserwirtschaft</w:t>
    </w:r>
    <w:r w:rsidR="00D26F5C">
      <w:rPr>
        <w:sz w:val="16"/>
      </w:rPr>
      <w:t>, untere Abfallrechtsbehörde</w:t>
    </w:r>
  </w:p>
  <w:p w:rsidR="00C637A5" w:rsidRDefault="00D26F5C">
    <w:pPr>
      <w:jc w:val="center"/>
      <w:rPr>
        <w:sz w:val="16"/>
        <w:lang w:val="fr-FR"/>
      </w:rPr>
    </w:pPr>
    <w:r>
      <w:rPr>
        <w:sz w:val="16"/>
        <w:lang w:val="fr-FR"/>
      </w:rPr>
      <w:t>Tel. 07031/663-1604, Email w</w:t>
    </w:r>
    <w:r w:rsidR="00535114">
      <w:rPr>
        <w:sz w:val="16"/>
        <w:lang w:val="fr-FR"/>
      </w:rPr>
      <w:t>asserwirtschaft</w:t>
    </w:r>
    <w:r>
      <w:rPr>
        <w:sz w:val="16"/>
        <w:lang w:val="fr-FR"/>
      </w:rPr>
      <w:t>@lrabb.de, Fax 07031/663-</w:t>
    </w:r>
    <w:r w:rsidR="00414BAE">
      <w:rPr>
        <w:sz w:val="16"/>
        <w:lang w:val="fr-FR"/>
      </w:rPr>
      <w:t>91604</w:t>
    </w:r>
  </w:p>
  <w:p w:rsidR="00C637A5" w:rsidRDefault="00D26F5C">
    <w:pPr>
      <w:jc w:val="center"/>
      <w:rPr>
        <w:rFonts w:ascii="Tahoma" w:hAnsi="Tahoma" w:cs="Tahoma"/>
        <w:b/>
        <w:bCs/>
        <w:sz w:val="16"/>
      </w:rPr>
    </w:pPr>
    <w:proofErr w:type="gramStart"/>
    <w:r>
      <w:rPr>
        <w:sz w:val="16"/>
        <w:lang w:val="fr-FR"/>
      </w:rPr>
      <w:t>Stand:</w:t>
    </w:r>
    <w:proofErr w:type="gramEnd"/>
    <w:r>
      <w:rPr>
        <w:sz w:val="16"/>
        <w:lang w:val="fr-FR"/>
      </w:rPr>
      <w:t xml:space="preserve"> </w:t>
    </w:r>
    <w:proofErr w:type="spellStart"/>
    <w:r w:rsidR="003A1678">
      <w:rPr>
        <w:sz w:val="16"/>
        <w:lang w:val="fr-FR"/>
      </w:rPr>
      <w:t>Oktober</w:t>
    </w:r>
    <w:proofErr w:type="spellEnd"/>
    <w:r w:rsidR="003A1678">
      <w:rPr>
        <w:sz w:val="16"/>
        <w:lang w:val="fr-FR"/>
      </w:rPr>
      <w:t xml:space="preserve"> 2018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A5" w:rsidRDefault="00D26F5C">
      <w:r>
        <w:separator/>
      </w:r>
    </w:p>
  </w:footnote>
  <w:footnote w:type="continuationSeparator" w:id="0">
    <w:p w:rsidR="00C637A5" w:rsidRDefault="00D2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AE" w:rsidRDefault="00414B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A5" w:rsidRDefault="00D26F5C">
    <w:pPr>
      <w:pStyle w:val="Kopfzeile"/>
      <w:jc w:val="center"/>
    </w:pPr>
    <w:r>
      <w:br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16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A5" w:rsidRDefault="00C637A5">
    <w:pPr>
      <w:pStyle w:val="Kopfzeile"/>
      <w:tabs>
        <w:tab w:val="left" w:pos="6804"/>
      </w:tabs>
      <w:ind w:left="-142"/>
      <w:rPr>
        <w:sz w:val="18"/>
      </w:rPr>
    </w:pPr>
  </w:p>
  <w:p w:rsidR="00C637A5" w:rsidRDefault="00535114">
    <w:pPr>
      <w:pStyle w:val="Kopfzeile"/>
      <w:ind w:left="-142"/>
    </w:pPr>
    <w:bookmarkStart w:id="0" w:name="tmLogoSeite1Farbe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4180840</wp:posOffset>
          </wp:positionH>
          <wp:positionV relativeFrom="paragraph">
            <wp:posOffset>38100</wp:posOffset>
          </wp:positionV>
          <wp:extent cx="1374775" cy="734695"/>
          <wp:effectExtent l="0" t="0" r="0" b="8255"/>
          <wp:wrapNone/>
          <wp:docPr id="2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637A5" w:rsidRDefault="00C637A5">
    <w:pPr>
      <w:pStyle w:val="Kopfzeile"/>
      <w:ind w:left="-142"/>
    </w:pPr>
  </w:p>
  <w:p w:rsidR="00C637A5" w:rsidRDefault="00535114">
    <w:pPr>
      <w:pStyle w:val="Kopfzeile"/>
      <w:tabs>
        <w:tab w:val="clear" w:pos="4536"/>
        <w:tab w:val="clear" w:pos="9072"/>
      </w:tabs>
      <w:ind w:left="-142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2248535</wp:posOffset>
              </wp:positionV>
              <wp:extent cx="274955" cy="635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DB1B0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177.05pt" to="-36.6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ktngIAAJs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6ED7"/>
    <w:multiLevelType w:val="hybridMultilevel"/>
    <w:tmpl w:val="15A021C8"/>
    <w:lvl w:ilvl="0" w:tplc="94EA7D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8"/>
    <w:rsid w:val="003A1678"/>
    <w:rsid w:val="00414BAE"/>
    <w:rsid w:val="00535114"/>
    <w:rsid w:val="00C637A5"/>
    <w:rsid w:val="00D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chartTrackingRefBased/>
  <w15:docId w15:val="{B0D4048E-4C53-45AB-9E54-4A68428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240" w:lineRule="atLeast"/>
      <w:outlineLvl w:val="0"/>
    </w:pPr>
    <w:rPr>
      <w:rFonts w:ascii="Tahoma" w:hAnsi="Tahoma" w:cs="Tahoma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ind w:right="28"/>
      <w:outlineLvl w:val="1"/>
    </w:pPr>
    <w:rPr>
      <w:rFonts w:ascii="Tahoma" w:hAnsi="Tahoma" w:cs="Tahoma"/>
      <w:b/>
      <w:sz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16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Ebene4">
    <w:name w:val="Ebene4"/>
    <w:basedOn w:val="Ebene1"/>
    <w:pPr>
      <w:tabs>
        <w:tab w:val="left" w:pos="567"/>
      </w:tabs>
      <w:ind w:left="1134" w:hanging="1134"/>
    </w:pPr>
  </w:style>
  <w:style w:type="paragraph" w:customStyle="1" w:styleId="Adresse1">
    <w:name w:val="Adresse1"/>
    <w:basedOn w:val="Standard"/>
    <w:next w:val="Standard"/>
    <w:pPr>
      <w:spacing w:before="1701"/>
    </w:pPr>
  </w:style>
  <w:style w:type="paragraph" w:customStyle="1" w:styleId="Bezug">
    <w:name w:val="Bezug"/>
    <w:basedOn w:val="Standard"/>
    <w:next w:val="Standard"/>
    <w:pPr>
      <w:spacing w:before="1440"/>
    </w:pPr>
  </w:style>
  <w:style w:type="paragraph" w:customStyle="1" w:styleId="Ebene1">
    <w:name w:val="Ebene1"/>
    <w:basedOn w:val="Standard"/>
    <w:pPr>
      <w:ind w:left="567" w:hanging="567"/>
    </w:pPr>
  </w:style>
  <w:style w:type="paragraph" w:customStyle="1" w:styleId="Ebene2">
    <w:name w:val="Ebene2"/>
    <w:basedOn w:val="Ebene1"/>
    <w:pPr>
      <w:ind w:left="1134"/>
    </w:pPr>
  </w:style>
  <w:style w:type="paragraph" w:customStyle="1" w:styleId="Ebene3">
    <w:name w:val="Ebene3"/>
    <w:basedOn w:val="Ebene2"/>
    <w:pPr>
      <w:ind w:left="1701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1065"/>
    </w:pPr>
    <w:rPr>
      <w:szCs w:val="24"/>
    </w:rPr>
  </w:style>
  <w:style w:type="paragraph" w:styleId="Textkrper">
    <w:name w:val="Body Text"/>
    <w:basedOn w:val="Standard"/>
    <w:semiHidden/>
    <w:pPr>
      <w:ind w:right="851"/>
      <w:jc w:val="center"/>
    </w:pPr>
    <w:rPr>
      <w:sz w:val="28"/>
    </w:rPr>
  </w:style>
  <w:style w:type="paragraph" w:styleId="KeinLeerraum">
    <w:name w:val="No Spacing"/>
    <w:uiPriority w:val="1"/>
    <w:qFormat/>
    <w:rsid w:val="003A1678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16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5351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LRABB</vt:lpstr>
    </vt:vector>
  </TitlesOfParts>
  <Company>Landratsamt Böblingen</Company>
  <LinksUpToDate>false</LinksUpToDate>
  <CharactersWithSpaces>2720</CharactersWithSpaces>
  <SharedDoc>false</SharedDoc>
  <HLinks>
    <vt:vector size="6" baseType="variant">
      <vt:variant>
        <vt:i4>3145779</vt:i4>
      </vt:variant>
      <vt:variant>
        <vt:i4>3937</vt:i4>
      </vt:variant>
      <vt:variant>
        <vt:i4>1025</vt:i4>
      </vt:variant>
      <vt:variant>
        <vt:i4>1</vt:i4>
      </vt:variant>
      <vt:variant>
        <vt:lpwstr>..\..\..\..\DTP\DATEN\DESKSCAN\Neuer Ordner\Briefkopf_lrabb_kopf.jpg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LRABB</dc:title>
  <dc:subject/>
  <dc:creator>41WWA16</dc:creator>
  <cp:keywords/>
  <dc:description/>
  <cp:lastModifiedBy>Ruppert, Christine</cp:lastModifiedBy>
  <cp:revision>4</cp:revision>
  <cp:lastPrinted>2004-07-28T12:36:00Z</cp:lastPrinted>
  <dcterms:created xsi:type="dcterms:W3CDTF">2018-10-19T13:37:00Z</dcterms:created>
  <dcterms:modified xsi:type="dcterms:W3CDTF">2018-10-19T13:52:00Z</dcterms:modified>
</cp:coreProperties>
</file>